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602"/>
        <w:gridCol w:w="1620"/>
        <w:gridCol w:w="1620"/>
        <w:gridCol w:w="2970"/>
        <w:gridCol w:w="25"/>
      </w:tblGrid>
      <w:tr w:rsidR="00320B99" w:rsidTr="00FB7F09">
        <w:trPr>
          <w:trHeight w:val="152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20B99" w:rsidRPr="00A57E2B" w:rsidRDefault="001F2603">
            <w:pPr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Luke Malek</w:t>
            </w:r>
          </w:p>
          <w:p w:rsidR="00320B99" w:rsidRPr="00A57E2B" w:rsidRDefault="00320B99">
            <w:pPr>
              <w:jc w:val="center"/>
              <w:rPr>
                <w:rFonts w:ascii="Arial" w:hAnsi="Arial"/>
                <w:color w:val="000080"/>
                <w:sz w:val="16"/>
              </w:rPr>
            </w:pPr>
            <w:r w:rsidRPr="00A57E2B">
              <w:rPr>
                <w:rFonts w:ascii="Arial" w:hAnsi="Arial"/>
                <w:color w:val="000080"/>
                <w:sz w:val="16"/>
              </w:rPr>
              <w:t xml:space="preserve">District </w:t>
            </w:r>
            <w:r w:rsidR="001F2603">
              <w:rPr>
                <w:rFonts w:ascii="Arial" w:hAnsi="Arial"/>
                <w:color w:val="000080"/>
                <w:sz w:val="16"/>
              </w:rPr>
              <w:t>4</w:t>
            </w:r>
          </w:p>
          <w:p w:rsidR="00320B99" w:rsidRPr="00A57E2B" w:rsidRDefault="001F2603">
            <w:pPr>
              <w:jc w:val="center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Kootenai County</w:t>
            </w:r>
          </w:p>
          <w:p w:rsidR="00320B99" w:rsidRPr="00A57E2B" w:rsidRDefault="00320B99">
            <w:pPr>
              <w:jc w:val="center"/>
              <w:rPr>
                <w:rFonts w:ascii="Arial" w:hAnsi="Arial"/>
                <w:color w:val="000080"/>
                <w:sz w:val="16"/>
              </w:rPr>
            </w:pPr>
          </w:p>
          <w:p w:rsidR="00320B99" w:rsidRPr="00A57E2B" w:rsidRDefault="001F2603">
            <w:pPr>
              <w:jc w:val="center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lmalek@house.idaho.gov</w:t>
            </w:r>
          </w:p>
          <w:p w:rsidR="00320B99" w:rsidRPr="00A57E2B" w:rsidRDefault="00320B99" w:rsidP="001F2603">
            <w:pPr>
              <w:jc w:val="center"/>
              <w:rPr>
                <w:color w:val="000080"/>
              </w:rPr>
            </w:pPr>
            <w:r w:rsidRPr="00A57E2B">
              <w:rPr>
                <w:rFonts w:ascii="Arial" w:hAnsi="Arial"/>
                <w:color w:val="000080"/>
                <w:sz w:val="16"/>
              </w:rPr>
              <w:t xml:space="preserve">(208) </w:t>
            </w:r>
            <w:r w:rsidR="001F2603">
              <w:rPr>
                <w:rFonts w:ascii="Arial" w:hAnsi="Arial"/>
                <w:color w:val="000080"/>
                <w:sz w:val="16"/>
              </w:rPr>
              <w:t>661-3881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20B99" w:rsidRPr="00A57E2B" w:rsidRDefault="00320B99">
            <w:pPr>
              <w:rPr>
                <w:color w:val="00008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0B99" w:rsidRPr="00A57E2B" w:rsidRDefault="001F260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51230" cy="908050"/>
                  <wp:effectExtent l="19050" t="0" r="1270" b="0"/>
                  <wp:docPr id="1" name="Picture 1" descr="seal ful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ful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0B99" w:rsidRPr="00A57E2B" w:rsidRDefault="00320B99">
            <w:pPr>
              <w:rPr>
                <w:color w:val="00008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99" w:rsidRPr="00A57E2B" w:rsidRDefault="00320B99">
            <w:pPr>
              <w:jc w:val="center"/>
              <w:rPr>
                <w:rFonts w:ascii="Arial" w:hAnsi="Arial"/>
                <w:color w:val="000080"/>
                <w:sz w:val="16"/>
              </w:rPr>
            </w:pPr>
            <w:r w:rsidRPr="00A57E2B">
              <w:rPr>
                <w:rFonts w:ascii="Arial" w:hAnsi="Arial"/>
                <w:color w:val="000080"/>
                <w:sz w:val="16"/>
              </w:rPr>
              <w:t>COMMITTEES</w:t>
            </w:r>
          </w:p>
          <w:p w:rsidR="00320B99" w:rsidRPr="00A57E2B" w:rsidRDefault="00320B99">
            <w:pPr>
              <w:jc w:val="center"/>
              <w:rPr>
                <w:rFonts w:ascii="Arial" w:hAnsi="Arial"/>
                <w:color w:val="000080"/>
                <w:sz w:val="16"/>
              </w:rPr>
            </w:pPr>
          </w:p>
          <w:p w:rsidR="00320B99" w:rsidRDefault="001F2603">
            <w:pPr>
              <w:jc w:val="center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Joint Finance and Appropriations</w:t>
            </w:r>
          </w:p>
          <w:p w:rsidR="001F2603" w:rsidRDefault="001F2603">
            <w:pPr>
              <w:jc w:val="center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Judiciary and Rules</w:t>
            </w:r>
          </w:p>
          <w:p w:rsidR="001F2603" w:rsidRPr="00A57E2B" w:rsidRDefault="001F2603">
            <w:pPr>
              <w:jc w:val="center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Local Government</w:t>
            </w:r>
          </w:p>
          <w:p w:rsidR="00320B99" w:rsidRPr="00A57E2B" w:rsidRDefault="00320B99">
            <w:pPr>
              <w:jc w:val="center"/>
              <w:rPr>
                <w:rFonts w:ascii="Arial" w:hAnsi="Arial"/>
                <w:color w:val="000080"/>
                <w:sz w:val="16"/>
              </w:rPr>
            </w:pPr>
          </w:p>
          <w:p w:rsidR="00320B99" w:rsidRPr="00A57E2B" w:rsidRDefault="00320B99">
            <w:pPr>
              <w:jc w:val="center"/>
              <w:rPr>
                <w:color w:val="000080"/>
              </w:rPr>
            </w:pPr>
          </w:p>
        </w:tc>
      </w:tr>
      <w:tr w:rsidR="00320B99" w:rsidRPr="00CD0637" w:rsidTr="00FB7F09">
        <w:trPr>
          <w:gridAfter w:val="1"/>
          <w:wAfter w:w="25" w:type="dxa"/>
          <w:cantSplit/>
          <w:trHeight w:val="135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B1440" w:rsidRPr="00CD0637" w:rsidRDefault="002B1440">
            <w:pPr>
              <w:rPr>
                <w:color w:val="000080"/>
                <w:szCs w:val="24"/>
              </w:rPr>
            </w:pPr>
          </w:p>
          <w:p w:rsidR="002B1440" w:rsidRPr="00CD0637" w:rsidRDefault="002B1440" w:rsidP="002B1440">
            <w:pPr>
              <w:rPr>
                <w:szCs w:val="24"/>
              </w:rPr>
            </w:pPr>
          </w:p>
          <w:p w:rsidR="00320B99" w:rsidRPr="00CD0637" w:rsidRDefault="00320B99" w:rsidP="002B1440">
            <w:pPr>
              <w:rPr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B99" w:rsidRPr="00CD0637" w:rsidRDefault="00320B99">
            <w:pPr>
              <w:pStyle w:val="Heading1"/>
              <w:spacing w:after="0"/>
              <w:jc w:val="center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CD0637">
              <w:rPr>
                <w:rFonts w:ascii="Times New Roman" w:hAnsi="Times New Roman"/>
                <w:b/>
                <w:color w:val="000080"/>
                <w:szCs w:val="24"/>
              </w:rPr>
              <w:t>House of Representatives</w:t>
            </w:r>
          </w:p>
          <w:p w:rsidR="00320B99" w:rsidRPr="00CD0637" w:rsidRDefault="00320B99">
            <w:pPr>
              <w:pStyle w:val="Heading1"/>
              <w:spacing w:after="0"/>
              <w:jc w:val="center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CD0637">
              <w:rPr>
                <w:rFonts w:ascii="Times New Roman" w:hAnsi="Times New Roman"/>
                <w:b/>
                <w:color w:val="000080"/>
                <w:szCs w:val="24"/>
              </w:rPr>
              <w:t>State of Idaho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20B99" w:rsidRPr="00CD0637" w:rsidRDefault="00320B99">
            <w:pPr>
              <w:rPr>
                <w:color w:val="000080"/>
                <w:szCs w:val="24"/>
              </w:rPr>
            </w:pPr>
          </w:p>
        </w:tc>
      </w:tr>
    </w:tbl>
    <w:p w:rsidR="00FB7F09" w:rsidRPr="006450C4" w:rsidRDefault="00FB7F09" w:rsidP="00FB7F0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6450C4">
        <w:rPr>
          <w:rFonts w:ascii="Times New Roman" w:hAnsi="Times New Roman" w:cs="Times New Roman"/>
          <w:b/>
          <w:color w:val="auto"/>
          <w:sz w:val="24"/>
        </w:rPr>
        <w:t>FOR IMMEDIATE RELEASE</w:t>
      </w:r>
    </w:p>
    <w:p w:rsidR="00FB7F09" w:rsidRPr="006450C4" w:rsidRDefault="00FB7F09" w:rsidP="00FB7F0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6450C4">
        <w:rPr>
          <w:rFonts w:ascii="Times New Roman" w:hAnsi="Times New Roman" w:cs="Times New Roman"/>
          <w:b/>
          <w:color w:val="auto"/>
          <w:sz w:val="24"/>
        </w:rPr>
        <w:t>July 29, 2015</w:t>
      </w:r>
    </w:p>
    <w:p w:rsidR="00FB7F09" w:rsidRPr="006450C4" w:rsidRDefault="00FB7F09" w:rsidP="00FB7F0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B7F09" w:rsidRPr="006450C4" w:rsidRDefault="00FB7F09" w:rsidP="00FB7F09">
      <w:pPr>
        <w:pStyle w:val="Normal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6450C4">
        <w:rPr>
          <w:rFonts w:ascii="Times New Roman" w:hAnsi="Times New Roman" w:cs="Times New Roman"/>
          <w:b/>
          <w:color w:val="auto"/>
          <w:sz w:val="24"/>
        </w:rPr>
        <w:t xml:space="preserve">Contact: </w:t>
      </w:r>
      <w:r w:rsidRPr="006450C4"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>Brooke Brourman</w:t>
      </w:r>
    </w:p>
    <w:p w:rsidR="00FB7F09" w:rsidRPr="006450C4" w:rsidRDefault="00FB7F09" w:rsidP="00FB7F09">
      <w:pPr>
        <w:pStyle w:val="Normal1"/>
        <w:spacing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6450C4">
        <w:rPr>
          <w:rFonts w:ascii="Times New Roman" w:hAnsi="Times New Roman" w:cs="Times New Roman"/>
          <w:b/>
          <w:color w:val="auto"/>
          <w:sz w:val="24"/>
        </w:rPr>
        <w:t>(208) 334-4859</w:t>
      </w:r>
    </w:p>
    <w:p w:rsidR="00FB7F09" w:rsidRPr="006450C4" w:rsidRDefault="00FB7F09" w:rsidP="00FB7F09">
      <w:pPr>
        <w:pStyle w:val="Normal1"/>
        <w:spacing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</w:rPr>
          <w:t>bbrourman@lso.idaho.gov</w:t>
        </w:r>
      </w:hyperlink>
      <w:bookmarkStart w:id="0" w:name="_GoBack"/>
      <w:bookmarkEnd w:id="0"/>
    </w:p>
    <w:p w:rsidR="00FB7F09" w:rsidRPr="006450C4" w:rsidRDefault="00FB7F09" w:rsidP="00FB7F09">
      <w:pPr>
        <w:pStyle w:val="Normal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</w:p>
    <w:p w:rsidR="00FB7F09" w:rsidRPr="006450C4" w:rsidRDefault="00FB7F09" w:rsidP="00FB7F0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6450C4">
        <w:rPr>
          <w:rFonts w:ascii="Times New Roman" w:hAnsi="Times New Roman" w:cs="Times New Roman"/>
          <w:b/>
          <w:color w:val="auto"/>
          <w:sz w:val="24"/>
        </w:rPr>
        <w:t>SPECIAL LEGISLATIVE COMMITTEE SEEKS INPUT FROM SERVICE PROVIDERS</w:t>
      </w:r>
    </w:p>
    <w:p w:rsidR="00FB7F09" w:rsidRPr="00CD0637" w:rsidRDefault="00FB7F09" w:rsidP="00FB7F09">
      <w:pPr>
        <w:rPr>
          <w:szCs w:val="24"/>
        </w:rPr>
      </w:pPr>
    </w:p>
    <w:p w:rsidR="00FB7F09" w:rsidRPr="00CD0637" w:rsidRDefault="00FB7F09" w:rsidP="00FB7F09">
      <w:pPr>
        <w:rPr>
          <w:szCs w:val="24"/>
        </w:rPr>
      </w:pPr>
    </w:p>
    <w:p w:rsidR="00FB7F09" w:rsidRDefault="00FB7F09" w:rsidP="00FB7F09">
      <w:pPr>
        <w:rPr>
          <w:szCs w:val="24"/>
        </w:rPr>
      </w:pPr>
      <w:r w:rsidRPr="00CD0637">
        <w:rPr>
          <w:szCs w:val="24"/>
        </w:rPr>
        <w:t>In an effort to get as much information as possible to a legislative</w:t>
      </w:r>
      <w:r w:rsidRPr="00CD0637">
        <w:rPr>
          <w:color w:val="FF0000"/>
          <w:szCs w:val="24"/>
        </w:rPr>
        <w:t xml:space="preserve"> </w:t>
      </w:r>
      <w:r w:rsidRPr="00CD0637">
        <w:rPr>
          <w:szCs w:val="24"/>
        </w:rPr>
        <w:t>working group grappling with how to proceed with procuring internet and related services to schools, libraries, state agencies</w:t>
      </w:r>
      <w:r>
        <w:rPr>
          <w:szCs w:val="24"/>
        </w:rPr>
        <w:t>,</w:t>
      </w:r>
      <w:r w:rsidRPr="00CD0637">
        <w:rPr>
          <w:szCs w:val="24"/>
        </w:rPr>
        <w:t xml:space="preserve"> and promoting economic development statewide prior to the next legislative session, the co-chairs of the Broadband Access Study Committee, Senator Dean Mortimer (R-Idaho Falls) and Representative Luke Malek (R-Coeur d’Alene), are putting out a call to any vendors that</w:t>
      </w:r>
      <w:r>
        <w:rPr>
          <w:szCs w:val="24"/>
        </w:rPr>
        <w:t xml:space="preserve"> may have an interest in testifying</w:t>
      </w:r>
      <w:r w:rsidRPr="00CD0637">
        <w:rPr>
          <w:szCs w:val="24"/>
        </w:rPr>
        <w:t>.</w:t>
      </w:r>
    </w:p>
    <w:p w:rsidR="00FB7F09" w:rsidRPr="00CD0637" w:rsidRDefault="00FB7F09" w:rsidP="00FB7F09">
      <w:pPr>
        <w:rPr>
          <w:szCs w:val="24"/>
        </w:rPr>
      </w:pPr>
    </w:p>
    <w:p w:rsidR="00FB7F09" w:rsidRDefault="00FB7F09" w:rsidP="00FB7F09">
      <w:pPr>
        <w:rPr>
          <w:szCs w:val="24"/>
        </w:rPr>
      </w:pPr>
      <w:r w:rsidRPr="00CD0637">
        <w:rPr>
          <w:szCs w:val="24"/>
        </w:rPr>
        <w:t>“Senator Mortimer and I have both been contacted by several vendors of internet and other services asking to have some time to share their perspective with the committ</w:t>
      </w:r>
      <w:r>
        <w:rPr>
          <w:szCs w:val="24"/>
        </w:rPr>
        <w:t xml:space="preserve">ee,” said Representative Malek. </w:t>
      </w:r>
      <w:r w:rsidRPr="00CD0637">
        <w:rPr>
          <w:szCs w:val="24"/>
        </w:rPr>
        <w:t xml:space="preserve">“We both definitely see the value in having </w:t>
      </w:r>
      <w:r>
        <w:rPr>
          <w:szCs w:val="24"/>
        </w:rPr>
        <w:t xml:space="preserve">the testimony of </w:t>
      </w:r>
      <w:r w:rsidRPr="00CD0637">
        <w:rPr>
          <w:szCs w:val="24"/>
        </w:rPr>
        <w:t>those who know the industry and who are innovating new tools for the use of technology.”</w:t>
      </w:r>
    </w:p>
    <w:p w:rsidR="00FB7F09" w:rsidRPr="00CD0637" w:rsidRDefault="00FB7F09" w:rsidP="00FB7F09">
      <w:pPr>
        <w:rPr>
          <w:szCs w:val="24"/>
        </w:rPr>
      </w:pPr>
    </w:p>
    <w:p w:rsidR="00FB7F09" w:rsidRDefault="00FB7F09" w:rsidP="00FB7F09">
      <w:pPr>
        <w:rPr>
          <w:szCs w:val="24"/>
        </w:rPr>
      </w:pPr>
      <w:r w:rsidRPr="00CD0637">
        <w:rPr>
          <w:szCs w:val="24"/>
        </w:rPr>
        <w:t>“We have to be fair about the way we manage the presentation of this information</w:t>
      </w:r>
      <w:r>
        <w:rPr>
          <w:szCs w:val="24"/>
        </w:rPr>
        <w:t>,</w:t>
      </w:r>
      <w:r w:rsidRPr="00CD0637">
        <w:rPr>
          <w:szCs w:val="24"/>
        </w:rPr>
        <w:t>” added Senator Mortimer.  “Especially given the contention around this issue in the past, it is critical that no vendor gets any sort of preferential treatment.”</w:t>
      </w:r>
    </w:p>
    <w:p w:rsidR="00FB7F09" w:rsidRPr="00CD0637" w:rsidRDefault="00FB7F09" w:rsidP="00FB7F09">
      <w:pPr>
        <w:rPr>
          <w:szCs w:val="24"/>
        </w:rPr>
      </w:pPr>
    </w:p>
    <w:p w:rsidR="00FB7F09" w:rsidRPr="00CD0637" w:rsidRDefault="00FB7F09" w:rsidP="00FB7F09">
      <w:pPr>
        <w:rPr>
          <w:szCs w:val="24"/>
        </w:rPr>
      </w:pPr>
      <w:r w:rsidRPr="00CD0637">
        <w:rPr>
          <w:szCs w:val="24"/>
        </w:rPr>
        <w:t xml:space="preserve">The issue was discussed briefly during the </w:t>
      </w:r>
      <w:r>
        <w:rPr>
          <w:szCs w:val="24"/>
        </w:rPr>
        <w:t>initial meeting of the committee</w:t>
      </w:r>
      <w:r w:rsidRPr="00CD0637">
        <w:rPr>
          <w:szCs w:val="24"/>
        </w:rPr>
        <w:t>, and the process for getting input from vendors received supportive comments from committee members.</w:t>
      </w:r>
    </w:p>
    <w:p w:rsidR="00FB7F09" w:rsidRDefault="00FB7F09" w:rsidP="00FB7F09">
      <w:pPr>
        <w:rPr>
          <w:szCs w:val="24"/>
        </w:rPr>
      </w:pPr>
    </w:p>
    <w:p w:rsidR="00FB7F09" w:rsidRPr="00CD0637" w:rsidRDefault="00FB7F09" w:rsidP="00FB7F09">
      <w:pPr>
        <w:rPr>
          <w:szCs w:val="24"/>
        </w:rPr>
      </w:pPr>
      <w:r w:rsidRPr="00CD0637">
        <w:rPr>
          <w:szCs w:val="24"/>
        </w:rPr>
        <w:t xml:space="preserve">The co-chairs are asking that interested vendors let the committee know how much time they would need for a presentation by </w:t>
      </w:r>
      <w:r w:rsidRPr="00195079">
        <w:rPr>
          <w:b/>
          <w:szCs w:val="24"/>
        </w:rPr>
        <w:t>Tuesday, August 4, 2015</w:t>
      </w:r>
      <w:r>
        <w:rPr>
          <w:szCs w:val="24"/>
        </w:rPr>
        <w:t xml:space="preserve">. </w:t>
      </w:r>
      <w:r w:rsidRPr="00CD0637">
        <w:rPr>
          <w:szCs w:val="24"/>
        </w:rPr>
        <w:t>Interested vendors can reach out to either co-chair directly or contact Brooke Brourman with the Legislative Services Office at (208) 334-4859.</w:t>
      </w:r>
    </w:p>
    <w:p w:rsidR="00FB7F09" w:rsidRDefault="00FB7F09" w:rsidP="00FB7F09">
      <w:pPr>
        <w:rPr>
          <w:sz w:val="23"/>
          <w:szCs w:val="22"/>
        </w:rPr>
      </w:pPr>
    </w:p>
    <w:p w:rsidR="00FB7F09" w:rsidRDefault="00FB7F09" w:rsidP="00FB7F09">
      <w:pPr>
        <w:rPr>
          <w:sz w:val="23"/>
          <w:szCs w:val="22"/>
        </w:rPr>
      </w:pPr>
    </w:p>
    <w:p w:rsidR="00FB7F09" w:rsidRDefault="00FB7F09" w:rsidP="00FB7F09">
      <w:pPr>
        <w:jc w:val="center"/>
        <w:rPr>
          <w:sz w:val="23"/>
          <w:szCs w:val="22"/>
        </w:rPr>
      </w:pPr>
      <w:r>
        <w:rPr>
          <w:sz w:val="23"/>
          <w:szCs w:val="22"/>
        </w:rPr>
        <w:t>*****************************************************************</w:t>
      </w:r>
    </w:p>
    <w:p w:rsidR="0096066B" w:rsidRPr="002B1440" w:rsidRDefault="0096066B" w:rsidP="00FB7F09">
      <w:pPr>
        <w:rPr>
          <w:sz w:val="23"/>
          <w:szCs w:val="22"/>
        </w:rPr>
      </w:pPr>
    </w:p>
    <w:sectPr w:rsidR="0096066B" w:rsidRPr="002B1440" w:rsidSect="002B1440">
      <w:headerReference w:type="default" r:id="rId9"/>
      <w:type w:val="continuous"/>
      <w:pgSz w:w="12240" w:h="15840" w:code="1"/>
      <w:pgMar w:top="720" w:right="1080" w:bottom="288" w:left="1080" w:header="965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86" w:rsidRDefault="00975286">
      <w:r>
        <w:separator/>
      </w:r>
    </w:p>
  </w:endnote>
  <w:endnote w:type="continuationSeparator" w:id="0">
    <w:p w:rsidR="00975286" w:rsidRDefault="0097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86" w:rsidRDefault="00975286">
      <w:r>
        <w:separator/>
      </w:r>
    </w:p>
  </w:footnote>
  <w:footnote w:type="continuationSeparator" w:id="0">
    <w:p w:rsidR="00975286" w:rsidRDefault="0097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0" w:rsidRDefault="002B1440">
    <w:pPr>
      <w:pStyle w:val="Header"/>
      <w:ind w:left="144"/>
    </w:pPr>
    <w:r>
      <w:t xml:space="preserve">          </w:t>
    </w:r>
    <w:fldSimple w:instr=" TIME \@ &quot;MMMM d, yyyy&quot; ">
      <w:r w:rsidR="008C720E">
        <w:rPr>
          <w:noProof/>
        </w:rPr>
        <w:t>July 29, 2015</w:t>
      </w:r>
    </w:fldSimple>
  </w:p>
  <w:p w:rsidR="002B1440" w:rsidRDefault="002B1440">
    <w:pPr>
      <w:pStyle w:val="Header"/>
      <w:ind w:left="144"/>
    </w:pPr>
    <w:r>
      <w:t xml:space="preserve">          Page </w:t>
    </w:r>
    <w:fldSimple w:instr=" PAGE \* Arabic \* MERGEFORMAT ">
      <w:r w:rsidR="00CD0637">
        <w:rPr>
          <w:noProof/>
        </w:rPr>
        <w:t>2</w:t>
      </w:r>
    </w:fldSimple>
  </w:p>
  <w:p w:rsidR="002B1440" w:rsidRDefault="002B1440">
    <w:pPr>
      <w:pStyle w:val="Header"/>
      <w:ind w:left="144"/>
    </w:pPr>
  </w:p>
  <w:p w:rsidR="002B1440" w:rsidRDefault="002B1440">
    <w:pPr>
      <w:pStyle w:val="Header"/>
      <w:ind w:left="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786B"/>
    <w:rsid w:val="00031AE4"/>
    <w:rsid w:val="000969B9"/>
    <w:rsid w:val="000C5342"/>
    <w:rsid w:val="00195079"/>
    <w:rsid w:val="001C4130"/>
    <w:rsid w:val="001F2603"/>
    <w:rsid w:val="00253FDF"/>
    <w:rsid w:val="002B1440"/>
    <w:rsid w:val="00320B99"/>
    <w:rsid w:val="00366267"/>
    <w:rsid w:val="004E4B18"/>
    <w:rsid w:val="00693823"/>
    <w:rsid w:val="006E1158"/>
    <w:rsid w:val="007B050C"/>
    <w:rsid w:val="008C720E"/>
    <w:rsid w:val="00930FD3"/>
    <w:rsid w:val="0096066B"/>
    <w:rsid w:val="00975286"/>
    <w:rsid w:val="009B4C88"/>
    <w:rsid w:val="00A57E2B"/>
    <w:rsid w:val="00A65838"/>
    <w:rsid w:val="00A7786B"/>
    <w:rsid w:val="00B62FFA"/>
    <w:rsid w:val="00C10097"/>
    <w:rsid w:val="00C35652"/>
    <w:rsid w:val="00C87957"/>
    <w:rsid w:val="00CD0637"/>
    <w:rsid w:val="00E07979"/>
    <w:rsid w:val="00E82457"/>
    <w:rsid w:val="00F043E0"/>
    <w:rsid w:val="00F24DFE"/>
    <w:rsid w:val="00F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2"/>
    <w:pPr>
      <w:jc w:val="both"/>
    </w:pPr>
    <w:rPr>
      <w:spacing w:val="-5"/>
      <w:sz w:val="24"/>
    </w:rPr>
  </w:style>
  <w:style w:type="paragraph" w:styleId="Heading1">
    <w:name w:val="heading 1"/>
    <w:basedOn w:val="HeadingBase"/>
    <w:next w:val="BodyText"/>
    <w:qFormat/>
    <w:rsid w:val="00C35652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C35652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C35652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C35652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C35652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C35652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C35652"/>
    <w:pPr>
      <w:keepNext/>
      <w:framePr w:w="10546" w:h="1584" w:hSpace="187" w:vSpace="187" w:wrap="notBeside" w:vAnchor="page" w:hAnchor="margin" w:y="894" w:anchorLock="1"/>
      <w:spacing w:line="226" w:lineRule="auto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C35652"/>
    <w:pPr>
      <w:spacing w:before="220" w:after="220" w:line="220" w:lineRule="atLeast"/>
    </w:pPr>
    <w:rPr>
      <w:rFonts w:ascii="Arial" w:hAnsi="Arial"/>
    </w:rPr>
  </w:style>
  <w:style w:type="paragraph" w:styleId="Salutation">
    <w:name w:val="Salutation"/>
    <w:basedOn w:val="Normal"/>
    <w:next w:val="SubjectLine"/>
    <w:rsid w:val="00C35652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C35652"/>
    <w:pPr>
      <w:spacing w:after="220" w:line="220" w:lineRule="atLeast"/>
    </w:pPr>
    <w:rPr>
      <w:rFonts w:ascii="Arial" w:hAnsi="Arial"/>
    </w:rPr>
  </w:style>
  <w:style w:type="paragraph" w:customStyle="1" w:styleId="CcList">
    <w:name w:val="Cc List"/>
    <w:basedOn w:val="Normal"/>
    <w:rsid w:val="00C35652"/>
    <w:pPr>
      <w:keepLines/>
      <w:spacing w:line="220" w:lineRule="atLeast"/>
      <w:ind w:left="360" w:hanging="360"/>
    </w:pPr>
    <w:rPr>
      <w:rFonts w:ascii="Arial" w:hAnsi="Arial"/>
    </w:rPr>
  </w:style>
  <w:style w:type="paragraph" w:styleId="Closing">
    <w:name w:val="Closing"/>
    <w:basedOn w:val="Normal"/>
    <w:next w:val="Signature"/>
    <w:rsid w:val="00C35652"/>
    <w:pPr>
      <w:keepNext/>
      <w:spacing w:after="60" w:line="220" w:lineRule="atLeast"/>
    </w:pPr>
    <w:rPr>
      <w:rFonts w:ascii="Arial" w:hAnsi="Arial"/>
    </w:rPr>
  </w:style>
  <w:style w:type="paragraph" w:styleId="Signature">
    <w:name w:val="Signature"/>
    <w:basedOn w:val="Normal"/>
    <w:next w:val="SignatureJobTitle"/>
    <w:rsid w:val="00C35652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C3565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C35652"/>
    <w:pPr>
      <w:spacing w:after="220" w:line="220" w:lineRule="atLeast"/>
    </w:pPr>
    <w:rPr>
      <w:rFonts w:ascii="Arial" w:hAnsi="Arial"/>
    </w:rPr>
  </w:style>
  <w:style w:type="character" w:styleId="Emphasis">
    <w:name w:val="Emphasis"/>
    <w:qFormat/>
    <w:rsid w:val="00C35652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C35652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rsid w:val="00C3565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C35652"/>
    <w:pPr>
      <w:spacing w:line="220" w:lineRule="atLeast"/>
    </w:pPr>
    <w:rPr>
      <w:rFonts w:ascii="Arial" w:hAnsi="Arial"/>
    </w:rPr>
  </w:style>
  <w:style w:type="paragraph" w:customStyle="1" w:styleId="InsideAddressName">
    <w:name w:val="Inside Address Name"/>
    <w:basedOn w:val="InsideAddress"/>
    <w:next w:val="InsideAddress"/>
    <w:rsid w:val="00C35652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C35652"/>
    <w:pPr>
      <w:spacing w:after="220" w:line="220" w:lineRule="atLeast"/>
    </w:pPr>
    <w:rPr>
      <w:rFonts w:ascii="Arial" w:hAnsi="Arial"/>
      <w:caps/>
    </w:rPr>
  </w:style>
  <w:style w:type="paragraph" w:customStyle="1" w:styleId="ReferenceInitials">
    <w:name w:val="Reference Initials"/>
    <w:basedOn w:val="Normal"/>
    <w:next w:val="Enclosure"/>
    <w:rsid w:val="00C35652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C35652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C3565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C35652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C35652"/>
    <w:pPr>
      <w:spacing w:before="0"/>
    </w:pPr>
  </w:style>
  <w:style w:type="character" w:customStyle="1" w:styleId="Slogan">
    <w:name w:val="Slogan"/>
    <w:basedOn w:val="DefaultParagraphFont"/>
    <w:rsid w:val="00C35652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C3565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C356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65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35652"/>
    <w:pPr>
      <w:framePr w:w="10753" w:h="1880" w:hSpace="187" w:vSpace="187" w:wrap="notBeside" w:vAnchor="page" w:hAnchor="page" w:x="745" w:y="13249" w:anchorLock="1"/>
      <w:spacing w:before="120"/>
      <w:ind w:left="-360"/>
      <w:jc w:val="center"/>
    </w:pPr>
    <w:rPr>
      <w:rFonts w:ascii="Brush Script MT" w:hAnsi="Brush Script MT"/>
      <w:i/>
      <w:sz w:val="48"/>
    </w:rPr>
  </w:style>
  <w:style w:type="paragraph" w:styleId="List">
    <w:name w:val="List"/>
    <w:basedOn w:val="BodyText"/>
    <w:rsid w:val="00C35652"/>
    <w:pPr>
      <w:ind w:left="360" w:hanging="360"/>
    </w:pPr>
  </w:style>
  <w:style w:type="paragraph" w:styleId="ListBullet">
    <w:name w:val="List Bullet"/>
    <w:basedOn w:val="List"/>
    <w:autoRedefine/>
    <w:rsid w:val="00C35652"/>
    <w:pPr>
      <w:numPr>
        <w:numId w:val="1"/>
      </w:numPr>
    </w:pPr>
  </w:style>
  <w:style w:type="paragraph" w:styleId="ListNumber">
    <w:name w:val="List Number"/>
    <w:basedOn w:val="BodyText"/>
    <w:rsid w:val="00C35652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C35652"/>
    <w:rPr>
      <w:sz w:val="16"/>
    </w:rPr>
  </w:style>
  <w:style w:type="paragraph" w:styleId="CommentText">
    <w:name w:val="annotation text"/>
    <w:basedOn w:val="Normal"/>
    <w:semiHidden/>
    <w:rsid w:val="00C3565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40"/>
    <w:rPr>
      <w:rFonts w:ascii="Tahoma" w:hAnsi="Tahoma" w:cs="Tahoma"/>
      <w:spacing w:val="-5"/>
      <w:sz w:val="16"/>
      <w:szCs w:val="16"/>
    </w:rPr>
  </w:style>
  <w:style w:type="paragraph" w:customStyle="1" w:styleId="Normal1">
    <w:name w:val="Normal1"/>
    <w:rsid w:val="00FB7F09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FB7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ourman@lso.idah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Dropbox%20(Personal)\Representative%20Files\Malek%202015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Malek 2015 Letterhead.dotx</Template>
  <TotalTime>288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Luke</dc:creator>
  <cp:lastModifiedBy>bbrourman</cp:lastModifiedBy>
  <cp:revision>7</cp:revision>
  <cp:lastPrinted>2015-07-14T15:21:00Z</cp:lastPrinted>
  <dcterms:created xsi:type="dcterms:W3CDTF">2015-07-29T16:35:00Z</dcterms:created>
  <dcterms:modified xsi:type="dcterms:W3CDTF">2015-07-29T17:09:00Z</dcterms:modified>
  <cp:category>Letter</cp:category>
</cp:coreProperties>
</file>